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6931A">
      <w:pPr>
        <w:spacing w:line="480" w:lineRule="exact"/>
        <w:rPr>
          <w:rFonts w:hint="eastAsia" w:ascii="方正小标宋简体" w:eastAsia="方正小标宋简体"/>
          <w:sz w:val="36"/>
          <w:szCs w:val="36"/>
        </w:rPr>
      </w:pPr>
      <w:r>
        <w:rPr>
          <w:rFonts w:hint="eastAsia" w:ascii="黑体" w:hAnsi="黑体" w:eastAsia="黑体"/>
          <w:sz w:val="32"/>
          <w:szCs w:val="32"/>
        </w:rPr>
        <w:t>附件1</w:t>
      </w:r>
      <w:r>
        <w:rPr>
          <w:rFonts w:hint="eastAsia" w:ascii="黑体" w:hAnsi="黑体" w:eastAsia="黑体"/>
          <w:sz w:val="32"/>
          <w:szCs w:val="32"/>
          <w:lang w:val="en-US" w:eastAsia="zh-CN"/>
        </w:rPr>
        <w:t>-3</w:t>
      </w:r>
    </w:p>
    <w:p w14:paraId="3821A1FC">
      <w:pPr>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lang w:eastAsia="zh-CN"/>
        </w:rPr>
        <w:t>单位</w:t>
      </w:r>
      <w:r>
        <w:rPr>
          <w:rFonts w:hint="eastAsia" w:ascii="方正小标宋简体" w:eastAsia="方正小标宋简体"/>
          <w:sz w:val="36"/>
          <w:szCs w:val="36"/>
        </w:rPr>
        <w:t>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p>
    <w:p w14:paraId="06FA260A">
      <w:pPr>
        <w:jc w:val="center"/>
        <w:rPr>
          <w:rFonts w:ascii="仿宋_GB2312"/>
          <w:szCs w:val="30"/>
        </w:rPr>
      </w:pPr>
    </w:p>
    <w:p w14:paraId="48F98DC9">
      <w:pPr>
        <w:spacing w:line="60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一、</w:t>
      </w:r>
      <w:r>
        <w:rPr>
          <w:rFonts w:hint="eastAsia" w:ascii="黑体" w:hAnsi="黑体" w:eastAsia="黑体" w:cs="宋体"/>
          <w:color w:val="000000"/>
          <w:kern w:val="0"/>
          <w:sz w:val="32"/>
          <w:szCs w:val="32"/>
          <w:lang w:eastAsia="zh-CN"/>
        </w:rPr>
        <w:t>单位</w:t>
      </w:r>
      <w:r>
        <w:rPr>
          <w:rFonts w:hint="eastAsia" w:ascii="黑体" w:hAnsi="黑体" w:eastAsia="黑体" w:cs="宋体"/>
          <w:color w:val="000000"/>
          <w:kern w:val="0"/>
          <w:sz w:val="32"/>
          <w:szCs w:val="32"/>
        </w:rPr>
        <w:t>概况</w:t>
      </w:r>
    </w:p>
    <w:p w14:paraId="4D685B8F">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14:paraId="57287309">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北京汽车集团有限公司离退休干部管理服务中心（以下简称“中心”）为全额拨款事业单位，上级预算单位为北京兴东方实业有限责任公司</w:t>
      </w:r>
      <w:r>
        <w:rPr>
          <w:rFonts w:hint="eastAsia" w:ascii="仿宋_GB2312" w:eastAsia="仿宋_GB2312"/>
          <w:sz w:val="32"/>
          <w:szCs w:val="32"/>
          <w:lang w:eastAsia="zh-CN"/>
        </w:rPr>
        <w:t>，中心的</w:t>
      </w:r>
      <w:r>
        <w:rPr>
          <w:rFonts w:hint="eastAsia" w:ascii="仿宋_GB2312" w:eastAsia="仿宋_GB2312"/>
          <w:sz w:val="32"/>
          <w:szCs w:val="32"/>
        </w:rPr>
        <w:t>宗旨和业务范围为对离退休干部的管理与服务</w:t>
      </w:r>
      <w:r>
        <w:rPr>
          <w:rFonts w:hint="eastAsia" w:ascii="仿宋_GB2312" w:eastAsia="仿宋_GB2312"/>
          <w:sz w:val="32"/>
          <w:szCs w:val="32"/>
          <w:lang w:eastAsia="zh-CN"/>
        </w:rPr>
        <w:t>，</w:t>
      </w:r>
      <w:r>
        <w:rPr>
          <w:rFonts w:hint="eastAsia" w:ascii="仿宋_GB2312" w:eastAsia="仿宋_GB2312"/>
          <w:sz w:val="32"/>
          <w:szCs w:val="32"/>
        </w:rPr>
        <w:t>为离休及退休干部进行日常管理与服务，为离退休干部提供保障服务，</w:t>
      </w:r>
      <w:r>
        <w:rPr>
          <w:rFonts w:hint="eastAsia" w:ascii="仿宋_GB2312" w:eastAsia="仿宋_GB2312"/>
          <w:sz w:val="32"/>
          <w:szCs w:val="32"/>
          <w:lang w:eastAsia="zh-CN"/>
        </w:rPr>
        <w:t>为其落实两项待遇（政治待遇和生活待遇），</w:t>
      </w:r>
      <w:r>
        <w:rPr>
          <w:rFonts w:hint="eastAsia" w:ascii="仿宋_GB2312" w:eastAsia="仿宋_GB2312"/>
          <w:sz w:val="32"/>
          <w:szCs w:val="32"/>
        </w:rPr>
        <w:t>协调各</w:t>
      </w:r>
      <w:r>
        <w:rPr>
          <w:rFonts w:hint="eastAsia" w:ascii="仿宋_GB2312" w:eastAsia="仿宋_GB2312"/>
          <w:sz w:val="32"/>
          <w:szCs w:val="32"/>
          <w:lang w:eastAsia="zh-CN"/>
        </w:rPr>
        <w:t>项事务</w:t>
      </w:r>
      <w:r>
        <w:rPr>
          <w:rFonts w:hint="eastAsia" w:ascii="仿宋_GB2312" w:eastAsia="仿宋_GB2312"/>
          <w:sz w:val="32"/>
          <w:szCs w:val="32"/>
        </w:rPr>
        <w:t>等。</w:t>
      </w:r>
    </w:p>
    <w:p w14:paraId="7287F1EC">
      <w:pPr>
        <w:numPr>
          <w:ilvl w:val="0"/>
          <w:numId w:val="1"/>
        </w:numPr>
        <w:spacing w:line="600" w:lineRule="exact"/>
        <w:ind w:firstLine="640" w:firstLineChars="200"/>
        <w:rPr>
          <w:rFonts w:hint="eastAsia" w:ascii="楷体_GB2312" w:eastAsia="楷体_GB2312"/>
          <w:sz w:val="32"/>
          <w:szCs w:val="32"/>
        </w:rPr>
      </w:pPr>
      <w:r>
        <w:rPr>
          <w:rFonts w:hint="eastAsia" w:ascii="楷体_GB2312" w:eastAsia="楷体_GB2312"/>
          <w:sz w:val="32"/>
          <w:szCs w:val="32"/>
          <w:lang w:eastAsia="zh-CN"/>
        </w:rPr>
        <w:t>单位</w:t>
      </w:r>
      <w:r>
        <w:rPr>
          <w:rFonts w:hint="eastAsia" w:ascii="楷体_GB2312" w:eastAsia="楷体_GB2312"/>
          <w:sz w:val="32"/>
          <w:szCs w:val="32"/>
        </w:rPr>
        <w:t>整体绩效目标设立情况</w:t>
      </w:r>
    </w:p>
    <w:p w14:paraId="689BFC49">
      <w:pPr>
        <w:numPr>
          <w:ilvl w:val="0"/>
          <w:numId w:val="0"/>
        </w:numPr>
        <w:spacing w:line="600" w:lineRule="exact"/>
        <w:ind w:firstLine="640" w:firstLineChars="20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中心的</w:t>
      </w:r>
      <w:r>
        <w:rPr>
          <w:rFonts w:hint="eastAsia" w:ascii="仿宋_GB2312" w:hAnsi="宋体" w:eastAsia="仿宋_GB2312" w:cs="宋体"/>
          <w:color w:val="000000"/>
          <w:kern w:val="0"/>
          <w:sz w:val="32"/>
          <w:szCs w:val="32"/>
        </w:rPr>
        <w:t>绩效目标设立依据</w:t>
      </w:r>
      <w:r>
        <w:rPr>
          <w:rFonts w:hint="eastAsia" w:ascii="仿宋_GB2312" w:hAnsi="宋体" w:eastAsia="仿宋_GB2312" w:cs="宋体"/>
          <w:color w:val="000000"/>
          <w:kern w:val="0"/>
          <w:sz w:val="32"/>
          <w:szCs w:val="32"/>
          <w:lang w:eastAsia="zh-CN"/>
        </w:rPr>
        <w:t>围绕管理与服务</w:t>
      </w:r>
      <w:r>
        <w:rPr>
          <w:rFonts w:hint="eastAsia" w:ascii="仿宋_GB2312" w:hAnsi="宋体" w:eastAsia="仿宋_GB2312" w:cs="宋体"/>
          <w:color w:val="000000"/>
          <w:kern w:val="0"/>
          <w:sz w:val="32"/>
          <w:szCs w:val="32"/>
          <w:lang w:val="en-US" w:eastAsia="zh-CN"/>
        </w:rPr>
        <w:t>离退休老干部工作开展</w:t>
      </w:r>
      <w:r>
        <w:rPr>
          <w:rFonts w:hint="eastAsia" w:ascii="仿宋_GB2312" w:hAnsi="宋体" w:eastAsia="仿宋_GB2312" w:cs="宋体"/>
          <w:color w:val="000000"/>
          <w:kern w:val="0"/>
          <w:sz w:val="32"/>
          <w:szCs w:val="32"/>
          <w:lang w:eastAsia="zh-CN"/>
        </w:rPr>
        <w:t>，设立</w:t>
      </w:r>
      <w:r>
        <w:rPr>
          <w:rFonts w:hint="eastAsia" w:ascii="仿宋_GB2312" w:hAnsi="宋体" w:eastAsia="仿宋_GB2312" w:cs="宋体"/>
          <w:color w:val="000000"/>
          <w:kern w:val="0"/>
          <w:sz w:val="32"/>
          <w:szCs w:val="32"/>
        </w:rPr>
        <w:t>目标与</w:t>
      </w:r>
      <w:r>
        <w:rPr>
          <w:rFonts w:hint="eastAsia" w:ascii="仿宋_GB2312" w:hAnsi="宋体" w:eastAsia="仿宋_GB2312" w:cs="宋体"/>
          <w:color w:val="000000"/>
          <w:kern w:val="0"/>
          <w:sz w:val="32"/>
          <w:szCs w:val="32"/>
          <w:lang w:eastAsia="zh-CN"/>
        </w:rPr>
        <w:t>我单位的</w:t>
      </w:r>
      <w:r>
        <w:rPr>
          <w:rFonts w:hint="eastAsia" w:ascii="仿宋_GB2312" w:hAnsi="宋体" w:eastAsia="仿宋_GB2312" w:cs="宋体"/>
          <w:color w:val="000000"/>
          <w:kern w:val="0"/>
          <w:sz w:val="32"/>
          <w:szCs w:val="32"/>
        </w:rPr>
        <w:t>职责任务匹配、目标合理</w:t>
      </w:r>
      <w:r>
        <w:rPr>
          <w:rFonts w:hint="eastAsia" w:ascii="仿宋_GB2312" w:hAnsi="宋体" w:eastAsia="仿宋_GB2312" w:cs="宋体"/>
          <w:color w:val="000000"/>
          <w:kern w:val="0"/>
          <w:sz w:val="32"/>
          <w:szCs w:val="32"/>
          <w:lang w:eastAsia="zh-CN"/>
        </w:rPr>
        <w:t>。</w:t>
      </w:r>
    </w:p>
    <w:p w14:paraId="53AA5E10">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14:paraId="57C66759">
      <w:pPr>
        <w:snapToGrid w:val="0"/>
        <w:spacing w:line="520" w:lineRule="exact"/>
        <w:ind w:firstLine="640" w:firstLineChars="200"/>
        <w:rPr>
          <w:rFonts w:hint="eastAsia" w:ascii="仿宋_GB2312" w:eastAsia="仿宋_GB2312"/>
          <w:color w:val="000000"/>
          <w:sz w:val="32"/>
          <w:szCs w:val="32"/>
          <w:lang w:val="en-US" w:eastAsia="zh-CN"/>
        </w:rPr>
      </w:pPr>
      <w:r>
        <w:rPr>
          <w:rFonts w:hint="eastAsia" w:ascii="仿宋_GB2312" w:hAnsi="仿宋" w:eastAsia="仿宋_GB2312"/>
          <w:sz w:val="32"/>
          <w:szCs w:val="32"/>
        </w:rPr>
        <w:t>中心</w:t>
      </w:r>
      <w:r>
        <w:rPr>
          <w:rFonts w:hint="eastAsia" w:ascii="仿宋_GB2312" w:hAnsi="仿宋" w:eastAsia="仿宋_GB2312"/>
          <w:sz w:val="32"/>
          <w:szCs w:val="32"/>
          <w:lang w:eastAsia="zh-CN"/>
        </w:rPr>
        <w:t>2023</w:t>
      </w:r>
      <w:r>
        <w:rPr>
          <w:rFonts w:hint="eastAsia" w:ascii="仿宋_GB2312" w:hAnsi="仿宋" w:eastAsia="仿宋_GB2312"/>
          <w:sz w:val="32"/>
          <w:szCs w:val="32"/>
        </w:rPr>
        <w:t>年预算收入</w:t>
      </w:r>
      <w:r>
        <w:rPr>
          <w:rFonts w:hint="eastAsia" w:ascii="仿宋_GB2312" w:eastAsia="仿宋_GB2312"/>
          <w:color w:val="000000"/>
          <w:sz w:val="32"/>
          <w:szCs w:val="32"/>
        </w:rPr>
        <w:t>10</w:t>
      </w:r>
      <w:r>
        <w:rPr>
          <w:rFonts w:hint="eastAsia" w:ascii="仿宋_GB2312" w:eastAsia="仿宋_GB2312"/>
          <w:color w:val="000000"/>
          <w:sz w:val="32"/>
          <w:szCs w:val="32"/>
          <w:lang w:val="en-US" w:eastAsia="zh-CN"/>
        </w:rPr>
        <w:t>35.07</w:t>
      </w:r>
      <w:r>
        <w:rPr>
          <w:rFonts w:hint="eastAsia" w:ascii="仿宋_GB2312" w:hAnsi="仿宋" w:eastAsia="仿宋_GB2312"/>
          <w:sz w:val="32"/>
          <w:szCs w:val="32"/>
        </w:rPr>
        <w:t>万元，</w:t>
      </w:r>
      <w:r>
        <w:rPr>
          <w:rFonts w:hint="eastAsia" w:ascii="仿宋_GB2312" w:eastAsia="仿宋_GB2312"/>
          <w:color w:val="000000"/>
          <w:sz w:val="32"/>
          <w:szCs w:val="32"/>
        </w:rPr>
        <w:t>比</w:t>
      </w:r>
      <w:r>
        <w:rPr>
          <w:rFonts w:hint="eastAsia" w:ascii="仿宋_GB2312" w:eastAsia="仿宋_GB2312"/>
          <w:color w:val="000000"/>
          <w:sz w:val="32"/>
          <w:szCs w:val="32"/>
          <w:lang w:eastAsia="zh-CN"/>
        </w:rPr>
        <w:t>上</w:t>
      </w:r>
      <w:r>
        <w:rPr>
          <w:rFonts w:hint="eastAsia" w:ascii="仿宋_GB2312" w:eastAsia="仿宋_GB2312"/>
          <w:color w:val="000000"/>
          <w:sz w:val="32"/>
          <w:szCs w:val="32"/>
        </w:rPr>
        <w:t>年1</w:t>
      </w:r>
      <w:r>
        <w:rPr>
          <w:rFonts w:hint="eastAsia" w:ascii="仿宋_GB2312" w:eastAsia="仿宋_GB2312"/>
          <w:color w:val="000000"/>
          <w:sz w:val="32"/>
          <w:szCs w:val="32"/>
          <w:lang w:val="en-US" w:eastAsia="zh-CN"/>
        </w:rPr>
        <w:t>096.22</w:t>
      </w:r>
      <w:r>
        <w:rPr>
          <w:rFonts w:hint="eastAsia" w:ascii="仿宋_GB2312" w:eastAsia="仿宋_GB2312"/>
          <w:color w:val="000000"/>
          <w:sz w:val="32"/>
          <w:szCs w:val="32"/>
        </w:rPr>
        <w:t>万元减少</w:t>
      </w:r>
      <w:r>
        <w:rPr>
          <w:rFonts w:hint="eastAsia" w:ascii="仿宋_GB2312" w:eastAsia="仿宋_GB2312"/>
          <w:color w:val="000000"/>
          <w:sz w:val="32"/>
          <w:szCs w:val="32"/>
          <w:lang w:val="en-US" w:eastAsia="zh-CN"/>
        </w:rPr>
        <w:t>61.15</w:t>
      </w:r>
      <w:r>
        <w:rPr>
          <w:rFonts w:hint="eastAsia" w:ascii="仿宋_GB2312" w:eastAsia="仿宋_GB2312"/>
          <w:color w:val="000000"/>
          <w:sz w:val="32"/>
          <w:szCs w:val="32"/>
        </w:rPr>
        <w:t>万元，减少</w:t>
      </w:r>
      <w:r>
        <w:rPr>
          <w:rFonts w:hint="eastAsia" w:ascii="仿宋_GB2312" w:eastAsia="仿宋_GB2312"/>
          <w:color w:val="000000"/>
          <w:sz w:val="32"/>
          <w:szCs w:val="32"/>
          <w:lang w:val="en-US" w:eastAsia="zh-CN"/>
        </w:rPr>
        <w:t>5.58</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w:t>
      </w:r>
    </w:p>
    <w:p w14:paraId="7505188F">
      <w:pPr>
        <w:snapToGrid w:val="0"/>
        <w:spacing w:line="520" w:lineRule="exact"/>
        <w:ind w:firstLine="640" w:firstLineChars="200"/>
        <w:rPr>
          <w:rFonts w:hint="default" w:ascii="仿宋_GB2312" w:hAnsi="宋体" w:eastAsia="仿宋_GB2312" w:cs="宋体"/>
          <w:color w:val="000000"/>
          <w:kern w:val="0"/>
          <w:sz w:val="32"/>
          <w:szCs w:val="32"/>
          <w:lang w:val="en-US"/>
        </w:rPr>
      </w:pPr>
      <w:r>
        <w:rPr>
          <w:rFonts w:hint="eastAsia" w:ascii="仿宋_GB2312" w:hAnsi="仿宋" w:eastAsia="仿宋_GB2312"/>
          <w:sz w:val="32"/>
          <w:szCs w:val="32"/>
          <w:lang w:eastAsia="zh-CN"/>
        </w:rPr>
        <w:t>2023</w:t>
      </w:r>
      <w:r>
        <w:rPr>
          <w:rFonts w:hint="eastAsia" w:ascii="仿宋_GB2312" w:hAnsi="仿宋" w:eastAsia="仿宋_GB2312"/>
          <w:sz w:val="32"/>
          <w:szCs w:val="32"/>
        </w:rPr>
        <w:t>年支出预算</w:t>
      </w:r>
      <w:r>
        <w:rPr>
          <w:rFonts w:hint="eastAsia" w:ascii="仿宋_GB2312" w:eastAsia="仿宋_GB2312"/>
          <w:color w:val="000000"/>
          <w:sz w:val="32"/>
          <w:szCs w:val="32"/>
          <w:lang w:val="en-US" w:eastAsia="zh-CN"/>
        </w:rPr>
        <w:t>946.43</w:t>
      </w:r>
      <w:r>
        <w:rPr>
          <w:rFonts w:hint="eastAsia" w:ascii="仿宋_GB2312" w:eastAsia="仿宋_GB2312"/>
          <w:color w:val="000000"/>
          <w:sz w:val="32"/>
          <w:szCs w:val="32"/>
        </w:rPr>
        <w:t>万元</w:t>
      </w:r>
      <w:r>
        <w:rPr>
          <w:rFonts w:hint="eastAsia" w:ascii="仿宋_GB2312" w:hAnsi="仿宋" w:eastAsia="仿宋_GB2312"/>
          <w:sz w:val="32"/>
          <w:szCs w:val="32"/>
        </w:rPr>
        <w:t>，其中：基本支出预算</w:t>
      </w:r>
      <w:r>
        <w:rPr>
          <w:rFonts w:hint="eastAsia" w:ascii="仿宋_GB2312" w:eastAsia="仿宋_GB2312"/>
          <w:color w:val="000000"/>
          <w:sz w:val="32"/>
          <w:szCs w:val="32"/>
          <w:lang w:val="en-US" w:eastAsia="zh-CN"/>
        </w:rPr>
        <w:t>691.45</w:t>
      </w:r>
      <w:r>
        <w:rPr>
          <w:rFonts w:hint="eastAsia" w:ascii="仿宋_GB2312" w:hAnsi="仿宋" w:eastAsia="仿宋_GB2312"/>
          <w:sz w:val="32"/>
          <w:szCs w:val="32"/>
        </w:rPr>
        <w:t>万元，占总支出预算</w:t>
      </w:r>
      <w:r>
        <w:rPr>
          <w:rFonts w:hint="eastAsia" w:ascii="仿宋_GB2312" w:eastAsia="仿宋_GB2312"/>
          <w:color w:val="000000"/>
          <w:sz w:val="32"/>
          <w:szCs w:val="32"/>
        </w:rPr>
        <w:t>7</w:t>
      </w:r>
      <w:r>
        <w:rPr>
          <w:rFonts w:hint="eastAsia" w:ascii="仿宋_GB2312" w:eastAsia="仿宋_GB2312"/>
          <w:color w:val="000000"/>
          <w:sz w:val="32"/>
          <w:szCs w:val="32"/>
          <w:lang w:val="en-US" w:eastAsia="zh-CN"/>
        </w:rPr>
        <w:t>3.06</w:t>
      </w:r>
      <w:r>
        <w:rPr>
          <w:rFonts w:hint="eastAsia" w:ascii="仿宋_GB2312" w:eastAsia="仿宋_GB2312"/>
          <w:color w:val="000000"/>
          <w:sz w:val="32"/>
          <w:szCs w:val="32"/>
        </w:rPr>
        <w:t>%</w:t>
      </w:r>
      <w:r>
        <w:rPr>
          <w:rFonts w:hint="eastAsia" w:ascii="仿宋_GB2312" w:hAnsi="仿宋" w:eastAsia="仿宋_GB2312"/>
          <w:sz w:val="32"/>
          <w:szCs w:val="32"/>
        </w:rPr>
        <w:t>，</w:t>
      </w:r>
      <w:r>
        <w:rPr>
          <w:rFonts w:hint="eastAsia" w:ascii="仿宋_GB2312" w:eastAsia="仿宋_GB2312"/>
          <w:color w:val="000000"/>
          <w:sz w:val="32"/>
          <w:szCs w:val="32"/>
        </w:rPr>
        <w:t>比</w:t>
      </w:r>
      <w:r>
        <w:rPr>
          <w:rFonts w:hint="eastAsia" w:ascii="仿宋_GB2312" w:eastAsia="仿宋_GB2312"/>
          <w:color w:val="000000"/>
          <w:sz w:val="32"/>
          <w:szCs w:val="32"/>
          <w:lang w:eastAsia="zh-CN"/>
        </w:rPr>
        <w:t>年初预算数</w:t>
      </w:r>
      <w:r>
        <w:rPr>
          <w:rFonts w:hint="eastAsia" w:ascii="仿宋_GB2312" w:eastAsia="仿宋_GB2312"/>
          <w:color w:val="000000"/>
          <w:sz w:val="32"/>
          <w:szCs w:val="32"/>
          <w:lang w:val="en-US" w:eastAsia="zh-CN"/>
        </w:rPr>
        <w:t>780.08</w:t>
      </w:r>
      <w:r>
        <w:rPr>
          <w:rFonts w:hint="eastAsia" w:ascii="仿宋_GB2312" w:eastAsia="仿宋_GB2312"/>
          <w:color w:val="000000"/>
          <w:sz w:val="32"/>
          <w:szCs w:val="32"/>
        </w:rPr>
        <w:t>万元减少</w:t>
      </w:r>
      <w:r>
        <w:rPr>
          <w:rFonts w:hint="eastAsia" w:ascii="仿宋_GB2312" w:eastAsia="仿宋_GB2312"/>
          <w:color w:val="000000"/>
          <w:sz w:val="32"/>
          <w:szCs w:val="32"/>
          <w:lang w:val="en-US" w:eastAsia="zh-CN"/>
        </w:rPr>
        <w:t>88.63</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下降</w:t>
      </w:r>
      <w:r>
        <w:rPr>
          <w:rFonts w:hint="eastAsia" w:ascii="仿宋_GB2312" w:eastAsia="仿宋_GB2312"/>
          <w:color w:val="000000"/>
          <w:sz w:val="32"/>
          <w:szCs w:val="32"/>
          <w:lang w:val="en-US" w:eastAsia="zh-CN"/>
        </w:rPr>
        <w:t>11</w:t>
      </w:r>
      <w:r>
        <w:rPr>
          <w:rFonts w:hint="eastAsia" w:ascii="仿宋_GB2312" w:eastAsia="仿宋_GB2312"/>
          <w:color w:val="000000"/>
          <w:sz w:val="32"/>
          <w:szCs w:val="32"/>
        </w:rPr>
        <w:t>%</w:t>
      </w:r>
      <w:r>
        <w:rPr>
          <w:rFonts w:hint="eastAsia" w:ascii="仿宋_GB2312" w:hAnsi="仿宋" w:eastAsia="仿宋_GB2312"/>
          <w:sz w:val="32"/>
          <w:szCs w:val="32"/>
        </w:rPr>
        <w:t>；</w:t>
      </w:r>
      <w:r>
        <w:rPr>
          <w:rFonts w:hint="eastAsia" w:ascii="仿宋_GB2312" w:eastAsia="仿宋_GB2312"/>
          <w:color w:val="000000"/>
          <w:sz w:val="32"/>
          <w:szCs w:val="32"/>
          <w:lang w:eastAsia="zh-CN"/>
        </w:rPr>
        <w:t>项目支出</w:t>
      </w:r>
      <w:r>
        <w:rPr>
          <w:rFonts w:hint="eastAsia" w:ascii="仿宋_GB2312" w:eastAsia="仿宋_GB2312"/>
          <w:color w:val="000000"/>
          <w:sz w:val="32"/>
          <w:szCs w:val="32"/>
        </w:rPr>
        <w:t>预算</w:t>
      </w:r>
      <w:r>
        <w:rPr>
          <w:rFonts w:hint="eastAsia" w:ascii="仿宋_GB2312" w:eastAsia="仿宋_GB2312"/>
          <w:color w:val="000000"/>
          <w:sz w:val="32"/>
          <w:szCs w:val="32"/>
          <w:lang w:val="en-US" w:eastAsia="zh-CN"/>
        </w:rPr>
        <w:t>254.98</w:t>
      </w:r>
      <w:r>
        <w:rPr>
          <w:rFonts w:hint="eastAsia" w:ascii="仿宋_GB2312" w:eastAsia="仿宋_GB2312"/>
          <w:color w:val="000000"/>
          <w:sz w:val="32"/>
          <w:szCs w:val="32"/>
        </w:rPr>
        <w:t>万元，</w:t>
      </w:r>
      <w:r>
        <w:rPr>
          <w:rFonts w:hint="eastAsia" w:ascii="仿宋_GB2312" w:hAnsi="仿宋" w:eastAsia="仿宋_GB2312"/>
          <w:sz w:val="32"/>
          <w:szCs w:val="32"/>
        </w:rPr>
        <w:t>占总支出预算</w:t>
      </w:r>
      <w:r>
        <w:rPr>
          <w:rFonts w:hint="eastAsia" w:ascii="仿宋_GB2312" w:eastAsia="仿宋_GB2312"/>
          <w:color w:val="000000"/>
          <w:sz w:val="32"/>
          <w:szCs w:val="32"/>
          <w:lang w:val="en-US" w:eastAsia="zh-CN"/>
        </w:rPr>
        <w:t>26.94</w:t>
      </w:r>
      <w:r>
        <w:rPr>
          <w:rFonts w:hint="eastAsia" w:ascii="仿宋_GB2312" w:eastAsia="仿宋_GB2312"/>
          <w:color w:val="000000"/>
          <w:sz w:val="32"/>
          <w:szCs w:val="32"/>
        </w:rPr>
        <w:t>%</w:t>
      </w:r>
      <w:r>
        <w:rPr>
          <w:rFonts w:hint="eastAsia" w:ascii="仿宋_GB2312" w:eastAsia="仿宋_GB2312"/>
          <w:color w:val="000000"/>
          <w:sz w:val="32"/>
          <w:szCs w:val="32"/>
          <w:lang w:eastAsia="zh-CN"/>
        </w:rPr>
        <w:t>，</w:t>
      </w:r>
      <w:r>
        <w:rPr>
          <w:rFonts w:hint="eastAsia" w:ascii="仿宋_GB2312" w:eastAsia="仿宋_GB2312"/>
          <w:color w:val="000000"/>
          <w:sz w:val="32"/>
          <w:szCs w:val="32"/>
        </w:rPr>
        <w:t>比年</w:t>
      </w:r>
      <w:r>
        <w:rPr>
          <w:rFonts w:hint="eastAsia" w:ascii="仿宋_GB2312" w:eastAsia="仿宋_GB2312"/>
          <w:color w:val="000000"/>
          <w:sz w:val="32"/>
          <w:szCs w:val="32"/>
          <w:lang w:eastAsia="zh-CN"/>
        </w:rPr>
        <w:t>初预算数</w:t>
      </w:r>
      <w:r>
        <w:rPr>
          <w:rFonts w:hint="eastAsia" w:ascii="仿宋_GB2312" w:eastAsia="仿宋_GB2312"/>
          <w:color w:val="000000"/>
          <w:sz w:val="32"/>
          <w:szCs w:val="32"/>
        </w:rPr>
        <w:t>23</w:t>
      </w:r>
      <w:r>
        <w:rPr>
          <w:rFonts w:hint="eastAsia" w:ascii="仿宋_GB2312" w:eastAsia="仿宋_GB2312"/>
          <w:color w:val="000000"/>
          <w:sz w:val="32"/>
          <w:szCs w:val="32"/>
          <w:lang w:val="en-US" w:eastAsia="zh-CN"/>
        </w:rPr>
        <w:t>5.73</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增加</w:t>
      </w:r>
      <w:r>
        <w:rPr>
          <w:rFonts w:hint="eastAsia" w:ascii="仿宋_GB2312" w:eastAsia="仿宋_GB2312"/>
          <w:color w:val="000000"/>
          <w:sz w:val="32"/>
          <w:szCs w:val="32"/>
          <w:lang w:val="en-US" w:eastAsia="zh-CN"/>
        </w:rPr>
        <w:t>19.25</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增加</w:t>
      </w:r>
      <w:r>
        <w:rPr>
          <w:rFonts w:hint="eastAsia" w:ascii="仿宋_GB2312" w:eastAsia="仿宋_GB2312"/>
          <w:color w:val="000000"/>
          <w:sz w:val="32"/>
          <w:szCs w:val="32"/>
          <w:lang w:val="en-US" w:eastAsia="zh-CN"/>
        </w:rPr>
        <w:t>8.2</w:t>
      </w:r>
      <w:r>
        <w:rPr>
          <w:rFonts w:hint="eastAsia" w:ascii="仿宋_GB2312" w:eastAsia="仿宋_GB2312"/>
          <w:color w:val="000000"/>
          <w:sz w:val="32"/>
          <w:szCs w:val="32"/>
        </w:rPr>
        <w:t>%</w:t>
      </w:r>
      <w:r>
        <w:rPr>
          <w:rFonts w:hint="eastAsia" w:ascii="仿宋_GB2312" w:hAnsi="仿宋" w:eastAsia="仿宋_GB2312"/>
          <w:sz w:val="32"/>
          <w:szCs w:val="32"/>
          <w:lang w:eastAsia="zh-CN"/>
        </w:rPr>
        <w:t>。整体预算执行率为</w:t>
      </w:r>
      <w:r>
        <w:rPr>
          <w:rFonts w:hint="eastAsia" w:ascii="仿宋_GB2312" w:hAnsi="仿宋" w:eastAsia="仿宋_GB2312"/>
          <w:sz w:val="32"/>
          <w:szCs w:val="32"/>
          <w:lang w:val="en-US" w:eastAsia="zh-CN"/>
        </w:rPr>
        <w:t>93%。</w:t>
      </w:r>
    </w:p>
    <w:p w14:paraId="3268C6EE">
      <w:pPr>
        <w:spacing w:line="60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三、整体绩效目标实现情况</w:t>
      </w:r>
    </w:p>
    <w:p w14:paraId="170A7E61">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14:paraId="78FC4A8C">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14:paraId="228B2CCF">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中心的房租项目在产出指标上严格按照数量指标控制房屋面积，租赁的办公用房面积，</w:t>
      </w:r>
      <w:r>
        <w:rPr>
          <w:rFonts w:hint="eastAsia" w:ascii="仿宋_GB2312" w:hAnsi="宋体" w:eastAsia="仿宋_GB2312" w:cs="宋体"/>
          <w:color w:val="000000"/>
          <w:kern w:val="0"/>
          <w:sz w:val="32"/>
          <w:szCs w:val="32"/>
        </w:rPr>
        <w:t>租用面积</w:t>
      </w:r>
      <w:r>
        <w:rPr>
          <w:rFonts w:hint="eastAsia" w:ascii="仿宋_GB2312" w:hAnsi="宋体" w:eastAsia="仿宋_GB2312" w:cs="宋体"/>
          <w:color w:val="000000"/>
          <w:kern w:val="0"/>
          <w:sz w:val="32"/>
          <w:szCs w:val="32"/>
          <w:lang w:val="en-US" w:eastAsia="zh-CN"/>
        </w:rPr>
        <w:t>295.98</w:t>
      </w:r>
      <w:r>
        <w:rPr>
          <w:rFonts w:hint="eastAsia" w:ascii="仿宋_GB2312" w:hAnsi="宋体" w:eastAsia="仿宋_GB2312" w:cs="宋体"/>
          <w:color w:val="000000"/>
          <w:kern w:val="0"/>
          <w:sz w:val="32"/>
          <w:szCs w:val="32"/>
        </w:rPr>
        <w:t>平米</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不超标；机动经费在产出指标的数量指标上实际发生了9名去世人员的抚恤金，满足7-10人的去世人员数量范围内，未发生人员数量的超标；互联网接入费项目在产出指标的数量指标上满足10条以内网线畅通的要求。</w:t>
      </w:r>
    </w:p>
    <w:p w14:paraId="07165956">
      <w:pPr>
        <w:numPr>
          <w:ilvl w:val="0"/>
          <w:numId w:val="0"/>
        </w:numPr>
        <w:spacing w:line="600" w:lineRule="exact"/>
        <w:ind w:leftChars="200" w:firstLine="320" w:firstLineChars="1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质量</w:t>
      </w:r>
    </w:p>
    <w:p w14:paraId="25034645">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中心的房租项目在产出质量上实现卫生及整洁要求；机动经费在产出质量上实现按照国家有关政策及时发放的要求,</w:t>
      </w:r>
      <w:r>
        <w:rPr>
          <w:rFonts w:hint="eastAsia" w:ascii="仿宋_GB2312" w:hAnsi="宋体" w:eastAsia="仿宋_GB2312" w:cs="宋体"/>
          <w:color w:val="000000"/>
          <w:kern w:val="0"/>
          <w:sz w:val="32"/>
          <w:szCs w:val="32"/>
          <w:lang w:eastAsia="zh-CN"/>
        </w:rPr>
        <w:t>维护社会稳定，互联网环境安全，</w:t>
      </w:r>
      <w:r>
        <w:rPr>
          <w:rFonts w:hint="eastAsia" w:ascii="仿宋_GB2312" w:hAnsi="宋体" w:eastAsia="仿宋_GB2312" w:cs="宋体"/>
          <w:color w:val="000000"/>
          <w:kern w:val="0"/>
          <w:sz w:val="32"/>
          <w:szCs w:val="32"/>
        </w:rPr>
        <w:t>保证正常</w:t>
      </w:r>
      <w:r>
        <w:rPr>
          <w:rFonts w:hint="eastAsia" w:ascii="仿宋_GB2312" w:hAnsi="宋体" w:eastAsia="仿宋_GB2312" w:cs="宋体"/>
          <w:color w:val="000000"/>
          <w:kern w:val="0"/>
          <w:sz w:val="32"/>
          <w:szCs w:val="32"/>
          <w:lang w:eastAsia="zh-CN"/>
        </w:rPr>
        <w:t>办公</w:t>
      </w:r>
      <w:r>
        <w:rPr>
          <w:rFonts w:hint="eastAsia" w:ascii="仿宋_GB2312" w:hAnsi="宋体" w:eastAsia="仿宋_GB2312" w:cs="宋体"/>
          <w:color w:val="000000"/>
          <w:kern w:val="0"/>
          <w:sz w:val="32"/>
          <w:szCs w:val="32"/>
        </w:rPr>
        <w:t>运行。</w:t>
      </w:r>
    </w:p>
    <w:p w14:paraId="45BD402C">
      <w:pPr>
        <w:numPr>
          <w:ilvl w:val="0"/>
          <w:numId w:val="0"/>
        </w:numPr>
        <w:spacing w:line="600" w:lineRule="exact"/>
        <w:ind w:leftChars="200" w:firstLine="320" w:firstLineChars="1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进度</w:t>
      </w:r>
    </w:p>
    <w:p w14:paraId="6DF89374">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中心的房租项目在产出进度按时完成房租支付；机动经费在产出进度上实现在发生死亡抚恤金的当年内完成支付的要求；互联网接入费项目在产出进度上在合同约定的支付时间内完成支付。</w:t>
      </w:r>
    </w:p>
    <w:p w14:paraId="2E0943BD">
      <w:pPr>
        <w:numPr>
          <w:ilvl w:val="0"/>
          <w:numId w:val="0"/>
        </w:numPr>
        <w:spacing w:line="600" w:lineRule="exact"/>
        <w:ind w:leftChars="200" w:firstLine="320" w:firstLineChars="1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r>
        <w:rPr>
          <w:rFonts w:hint="eastAsia" w:ascii="仿宋_GB2312" w:hAnsi="宋体" w:eastAsia="仿宋_GB2312" w:cs="宋体"/>
          <w:color w:val="000000"/>
          <w:kern w:val="0"/>
          <w:sz w:val="32"/>
          <w:szCs w:val="32"/>
        </w:rPr>
        <w:t xml:space="preserve">     </w:t>
      </w:r>
    </w:p>
    <w:p w14:paraId="21176FB7">
      <w:pPr>
        <w:numPr>
          <w:ilvl w:val="0"/>
          <w:numId w:val="0"/>
        </w:num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中心的房租项目在产出成本上严格执行预算金额，</w:t>
      </w:r>
      <w:r>
        <w:rPr>
          <w:rFonts w:hint="eastAsia" w:ascii="仿宋_GB2312" w:hAnsi="宋体" w:eastAsia="仿宋_GB2312" w:cs="宋体"/>
          <w:color w:val="000000"/>
          <w:kern w:val="0"/>
          <w:sz w:val="32"/>
          <w:szCs w:val="32"/>
        </w:rPr>
        <w:t>实际支付金额</w:t>
      </w:r>
      <w:r>
        <w:rPr>
          <w:rFonts w:hint="eastAsia" w:ascii="仿宋_GB2312" w:hAnsi="宋体" w:eastAsia="仿宋_GB2312" w:cs="宋体"/>
          <w:color w:val="000000"/>
          <w:kern w:val="0"/>
          <w:sz w:val="32"/>
          <w:szCs w:val="32"/>
          <w:lang w:val="en-US" w:eastAsia="zh-CN"/>
        </w:rPr>
        <w:t>58.23</w:t>
      </w:r>
      <w:r>
        <w:rPr>
          <w:rFonts w:hint="eastAsia"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lang w:val="en-US" w:eastAsia="zh-CN"/>
        </w:rPr>
        <w:t>；机动经费在产出成本按照实际情况对应抚恤金金额，足额发放；互联网接入费项目在成本指标上按照预算金额2.5万元执行，未超预算成本。</w:t>
      </w:r>
    </w:p>
    <w:p w14:paraId="7C7C1811">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14:paraId="234C47F0">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14:paraId="3D009618">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中心的房租项目在经济效益上按照市场价执行；互联网接入费项目在经济效益指标上实现网速稳定，能够满足办公需求。</w:t>
      </w:r>
    </w:p>
    <w:p w14:paraId="0992BD93">
      <w:pPr>
        <w:spacing w:line="600" w:lineRule="exact"/>
        <w:ind w:left="105" w:leftChars="50" w:firstLine="480" w:firstLineChars="15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2.社会效益</w:t>
      </w:r>
    </w:p>
    <w:p w14:paraId="438C21A9">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val="en-US" w:eastAsia="zh-CN"/>
        </w:rPr>
        <w:t>中心的机动经费项目在社会效益指标上实现了保障社会和谐稳定发展的需求。</w:t>
      </w:r>
    </w:p>
    <w:p w14:paraId="77CC855D">
      <w:pPr>
        <w:spacing w:line="600" w:lineRule="exact"/>
        <w:ind w:left="105" w:leftChars="50" w:firstLine="480" w:firstLineChars="15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3.环境效益</w:t>
      </w:r>
      <w:r>
        <w:rPr>
          <w:rFonts w:hint="eastAsia" w:ascii="仿宋_GB2312" w:hAnsi="宋体" w:eastAsia="仿宋_GB2312" w:cs="宋体"/>
          <w:color w:val="000000"/>
          <w:kern w:val="0"/>
          <w:sz w:val="32"/>
          <w:szCs w:val="32"/>
          <w:lang w:val="en-US" w:eastAsia="zh-CN"/>
        </w:rPr>
        <w:t xml:space="preserve"> 不涉及</w:t>
      </w:r>
    </w:p>
    <w:p w14:paraId="3CF1F8ED">
      <w:pPr>
        <w:spacing w:line="600" w:lineRule="exact"/>
        <w:ind w:left="105" w:leftChars="50" w:firstLine="480" w:firstLineChars="15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4.可持续</w:t>
      </w:r>
      <w:r>
        <w:rPr>
          <w:rFonts w:ascii="仿宋_GB2312" w:hAnsi="宋体" w:eastAsia="仿宋_GB2312" w:cs="宋体"/>
          <w:color w:val="000000"/>
          <w:kern w:val="0"/>
          <w:sz w:val="32"/>
          <w:szCs w:val="32"/>
        </w:rPr>
        <w:t>性影响</w:t>
      </w:r>
      <w:r>
        <w:rPr>
          <w:rFonts w:hint="eastAsia" w:ascii="仿宋_GB2312" w:hAnsi="宋体" w:eastAsia="仿宋_GB2312" w:cs="宋体"/>
          <w:color w:val="000000"/>
          <w:kern w:val="0"/>
          <w:sz w:val="32"/>
          <w:szCs w:val="32"/>
          <w:lang w:val="en-US" w:eastAsia="zh-CN"/>
        </w:rPr>
        <w:t xml:space="preserve">  不涉及</w:t>
      </w:r>
    </w:p>
    <w:p w14:paraId="2FE06DB7">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5.服务对象</w:t>
      </w:r>
      <w:r>
        <w:rPr>
          <w:rFonts w:ascii="仿宋_GB2312" w:hAnsi="宋体" w:eastAsia="仿宋_GB2312" w:cs="宋体"/>
          <w:color w:val="000000"/>
          <w:kern w:val="0"/>
          <w:sz w:val="32"/>
          <w:szCs w:val="32"/>
        </w:rPr>
        <w:t>满意度</w:t>
      </w:r>
    </w:p>
    <w:p w14:paraId="4EA77097">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中心的房租项目在服务对象满意度指标上实现了令出租方满意的要求；机动经费项目在</w:t>
      </w:r>
      <w:r>
        <w:rPr>
          <w:rFonts w:hint="eastAsia" w:ascii="仿宋_GB2312" w:hAnsi="宋体" w:eastAsia="仿宋_GB2312" w:cs="宋体"/>
          <w:color w:val="000000"/>
          <w:kern w:val="0"/>
          <w:sz w:val="32"/>
          <w:szCs w:val="32"/>
        </w:rPr>
        <w:t>服务对象</w:t>
      </w:r>
      <w:r>
        <w:rPr>
          <w:rFonts w:ascii="仿宋_GB2312" w:hAnsi="宋体" w:eastAsia="仿宋_GB2312" w:cs="宋体"/>
          <w:color w:val="000000"/>
          <w:kern w:val="0"/>
          <w:sz w:val="32"/>
          <w:szCs w:val="32"/>
        </w:rPr>
        <w:t>满意度</w:t>
      </w:r>
      <w:r>
        <w:rPr>
          <w:rFonts w:hint="eastAsia" w:ascii="仿宋_GB2312" w:hAnsi="宋体" w:eastAsia="仿宋_GB2312" w:cs="宋体"/>
          <w:color w:val="000000"/>
          <w:kern w:val="0"/>
          <w:sz w:val="32"/>
          <w:szCs w:val="32"/>
          <w:lang w:eastAsia="zh-CN"/>
        </w:rPr>
        <w:t>上令去世人员的家属满意。</w:t>
      </w:r>
    </w:p>
    <w:p w14:paraId="00529432">
      <w:pPr>
        <w:spacing w:line="600" w:lineRule="exact"/>
        <w:ind w:left="105" w:leftChars="50" w:firstLine="480" w:firstLineChars="15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14:paraId="56F19EEB">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14:paraId="0607D64A">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lang w:eastAsia="zh-CN"/>
        </w:rPr>
        <w:t>中心的</w:t>
      </w:r>
      <w:r>
        <w:rPr>
          <w:rFonts w:hint="eastAsia" w:ascii="仿宋_GB2312" w:hAnsi="宋体" w:eastAsia="仿宋_GB2312" w:cs="宋体"/>
          <w:color w:val="000000"/>
          <w:kern w:val="0"/>
          <w:sz w:val="32"/>
          <w:szCs w:val="32"/>
        </w:rPr>
        <w:t>财务</w:t>
      </w:r>
      <w:r>
        <w:rPr>
          <w:rFonts w:ascii="仿宋_GB2312" w:hAnsi="宋体" w:eastAsia="仿宋_GB2312" w:cs="宋体"/>
          <w:color w:val="000000"/>
          <w:kern w:val="0"/>
          <w:sz w:val="32"/>
          <w:szCs w:val="32"/>
        </w:rPr>
        <w:t>管理制度健全</w:t>
      </w:r>
      <w:r>
        <w:rPr>
          <w:rFonts w:hint="eastAsia" w:ascii="仿宋_GB2312" w:hAnsi="宋体" w:eastAsia="仿宋_GB2312" w:cs="宋体"/>
          <w:color w:val="000000"/>
          <w:kern w:val="0"/>
          <w:sz w:val="32"/>
          <w:szCs w:val="32"/>
          <w:lang w:eastAsia="zh-CN"/>
        </w:rPr>
        <w:t>，现行制度满足工作需求。</w:t>
      </w:r>
    </w:p>
    <w:p w14:paraId="6F418CC9">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lang w:eastAsia="zh-CN"/>
        </w:rPr>
        <w:t>中心的</w:t>
      </w:r>
      <w:r>
        <w:rPr>
          <w:rFonts w:hint="eastAsia" w:ascii="仿宋_GB2312" w:hAnsi="宋体" w:eastAsia="仿宋_GB2312" w:cs="宋体"/>
          <w:color w:val="000000"/>
          <w:kern w:val="0"/>
          <w:sz w:val="32"/>
          <w:szCs w:val="32"/>
        </w:rPr>
        <w:t>资金</w:t>
      </w:r>
      <w:r>
        <w:rPr>
          <w:rFonts w:hint="eastAsia" w:ascii="仿宋_GB2312" w:hAnsi="宋体" w:eastAsia="仿宋_GB2312" w:cs="宋体"/>
          <w:color w:val="000000"/>
          <w:kern w:val="0"/>
          <w:sz w:val="32"/>
          <w:szCs w:val="32"/>
          <w:lang w:eastAsia="zh-CN"/>
        </w:rPr>
        <w:t>主要为财政拨款资金，严格按照国库等相关要求进行管理，日常</w:t>
      </w:r>
      <w:r>
        <w:rPr>
          <w:rFonts w:hint="eastAsia" w:ascii="仿宋_GB2312" w:hAnsi="宋体" w:eastAsia="仿宋_GB2312" w:cs="宋体"/>
          <w:color w:val="000000"/>
          <w:kern w:val="0"/>
          <w:sz w:val="32"/>
          <w:szCs w:val="32"/>
        </w:rPr>
        <w:t>使用合规</w:t>
      </w:r>
      <w:r>
        <w:rPr>
          <w:rFonts w:hint="eastAsia" w:ascii="仿宋_GB2312" w:hAnsi="宋体" w:eastAsia="仿宋_GB2312" w:cs="宋体"/>
          <w:color w:val="000000"/>
          <w:kern w:val="0"/>
          <w:sz w:val="32"/>
          <w:szCs w:val="32"/>
          <w:lang w:eastAsia="zh-CN"/>
        </w:rPr>
        <w:t>，资金的</w:t>
      </w:r>
      <w:r>
        <w:rPr>
          <w:rFonts w:ascii="仿宋_GB2312" w:hAnsi="宋体" w:eastAsia="仿宋_GB2312" w:cs="宋体"/>
          <w:color w:val="000000"/>
          <w:kern w:val="0"/>
          <w:sz w:val="32"/>
          <w:szCs w:val="32"/>
        </w:rPr>
        <w:t>安全性</w:t>
      </w:r>
      <w:r>
        <w:rPr>
          <w:rFonts w:hint="eastAsia" w:ascii="仿宋_GB2312" w:hAnsi="宋体" w:eastAsia="仿宋_GB2312" w:cs="宋体"/>
          <w:color w:val="000000"/>
          <w:kern w:val="0"/>
          <w:sz w:val="32"/>
          <w:szCs w:val="32"/>
          <w:lang w:eastAsia="zh-CN"/>
        </w:rPr>
        <w:t>有保障。</w:t>
      </w:r>
    </w:p>
    <w:p w14:paraId="31BD2CBF">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lang w:eastAsia="zh-CN"/>
        </w:rPr>
        <w:t>中心的</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w:t>
      </w:r>
      <w:r>
        <w:rPr>
          <w:rFonts w:hint="eastAsia" w:ascii="仿宋_GB2312" w:hAnsi="宋体" w:eastAsia="仿宋_GB2312" w:cs="宋体"/>
          <w:color w:val="000000"/>
          <w:kern w:val="0"/>
          <w:sz w:val="32"/>
          <w:szCs w:val="32"/>
          <w:lang w:eastAsia="zh-CN"/>
        </w:rPr>
        <w:t>，全部经济业务应入账尽入账。</w:t>
      </w:r>
    </w:p>
    <w:p w14:paraId="04A00195">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（二）资产管理</w:t>
      </w:r>
    </w:p>
    <w:p w14:paraId="415A7E31">
      <w:pPr>
        <w:spacing w:line="600" w:lineRule="exact"/>
        <w:ind w:left="105" w:leftChars="50" w:firstLine="480" w:firstLineChars="15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中心的现行资产管理制度可以满足日常管理需求，固定资产台帐完整，按时计提折旧，根据上级主管单位要求及时准确完成相关报表的填报。</w:t>
      </w:r>
    </w:p>
    <w:p w14:paraId="2D6EB740">
      <w:pPr>
        <w:numPr>
          <w:ilvl w:val="0"/>
          <w:numId w:val="1"/>
        </w:numPr>
        <w:spacing w:line="600" w:lineRule="exact"/>
        <w:ind w:left="0" w:leftChars="0" w:firstLine="640" w:firstLineChars="200"/>
        <w:rPr>
          <w:rFonts w:hint="eastAsia" w:ascii="楷体_GB2312" w:eastAsia="楷体_GB2312"/>
          <w:sz w:val="32"/>
          <w:szCs w:val="32"/>
          <w:lang w:val="en-US" w:eastAsia="zh-CN"/>
        </w:rPr>
      </w:pPr>
      <w:r>
        <w:rPr>
          <w:rFonts w:hint="eastAsia" w:ascii="楷体_GB2312" w:eastAsia="楷体_GB2312"/>
          <w:sz w:val="32"/>
          <w:szCs w:val="32"/>
        </w:rPr>
        <w:t>绩效</w:t>
      </w:r>
      <w:r>
        <w:rPr>
          <w:rFonts w:ascii="楷体_GB2312" w:eastAsia="楷体_GB2312"/>
          <w:sz w:val="32"/>
          <w:szCs w:val="32"/>
        </w:rPr>
        <w:t>管理</w:t>
      </w:r>
      <w:r>
        <w:rPr>
          <w:rFonts w:hint="eastAsia" w:ascii="楷体_GB2312" w:eastAsia="楷体_GB2312"/>
          <w:sz w:val="32"/>
          <w:szCs w:val="32"/>
          <w:lang w:val="en-US" w:eastAsia="zh-CN"/>
        </w:rPr>
        <w:t xml:space="preserve"> </w:t>
      </w:r>
    </w:p>
    <w:p w14:paraId="49A88814">
      <w:pPr>
        <w:numPr>
          <w:ilvl w:val="0"/>
          <w:numId w:val="0"/>
        </w:numPr>
        <w:spacing w:line="600" w:lineRule="exact"/>
        <w:ind w:leftChars="200"/>
        <w:rPr>
          <w:rFonts w:hint="default" w:ascii="楷体_GB2312" w:eastAsia="楷体_GB2312"/>
          <w:sz w:val="32"/>
          <w:szCs w:val="32"/>
          <w:lang w:val="en-US" w:eastAsia="zh-CN"/>
        </w:rPr>
      </w:pPr>
      <w:r>
        <w:rPr>
          <w:rFonts w:hint="eastAsia" w:ascii="楷体_GB2312" w:eastAsia="楷体_GB2312"/>
          <w:sz w:val="32"/>
          <w:szCs w:val="32"/>
          <w:lang w:val="en-US" w:eastAsia="zh-CN"/>
        </w:rPr>
        <w:t xml:space="preserve">  </w:t>
      </w:r>
      <w:r>
        <w:rPr>
          <w:rFonts w:hint="eastAsia" w:ascii="仿宋_GB2312" w:hAnsi="宋体" w:eastAsia="仿宋_GB2312" w:cs="宋体"/>
          <w:color w:val="000000"/>
          <w:kern w:val="0"/>
          <w:sz w:val="32"/>
          <w:szCs w:val="32"/>
          <w:lang w:eastAsia="zh-CN"/>
        </w:rPr>
        <w:t>中心的绩效管理按照相关要求执行，满足目前管理需求。</w:t>
      </w:r>
    </w:p>
    <w:p w14:paraId="4B54FDC0">
      <w:pPr>
        <w:numPr>
          <w:ilvl w:val="0"/>
          <w:numId w:val="1"/>
        </w:numPr>
        <w:spacing w:line="600" w:lineRule="exact"/>
        <w:ind w:left="0" w:leftChars="0" w:firstLine="640" w:firstLineChars="200"/>
        <w:rPr>
          <w:rFonts w:hint="eastAsia" w:ascii="楷体_GB2312" w:eastAsia="楷体_GB2312"/>
          <w:sz w:val="32"/>
          <w:szCs w:val="32"/>
        </w:rPr>
      </w:pPr>
      <w:r>
        <w:rPr>
          <w:rFonts w:hint="eastAsia" w:ascii="楷体_GB2312" w:eastAsia="楷体_GB2312"/>
          <w:sz w:val="32"/>
          <w:szCs w:val="32"/>
        </w:rPr>
        <w:t>结转结余率</w:t>
      </w:r>
    </w:p>
    <w:p w14:paraId="0252BB12">
      <w:pPr>
        <w:numPr>
          <w:ilvl w:val="0"/>
          <w:numId w:val="0"/>
        </w:numPr>
        <w:spacing w:line="600" w:lineRule="exact"/>
        <w:ind w:leftChars="200"/>
        <w:rPr>
          <w:rFonts w:hint="default" w:ascii="楷体_GB2312" w:eastAsia="楷体_GB2312"/>
          <w:sz w:val="32"/>
          <w:szCs w:val="32"/>
          <w:lang w:val="en-US" w:eastAsia="zh-CN"/>
        </w:rPr>
      </w:pPr>
      <w:r>
        <w:rPr>
          <w:rFonts w:hint="eastAsia" w:ascii="楷体_GB2312" w:eastAsia="楷体_GB2312"/>
          <w:sz w:val="32"/>
          <w:szCs w:val="32"/>
          <w:lang w:val="en-US" w:eastAsia="zh-CN"/>
        </w:rPr>
        <w:t xml:space="preserve"> </w:t>
      </w:r>
      <w:r>
        <w:rPr>
          <w:rFonts w:hint="eastAsia" w:ascii="仿宋_GB2312" w:hAnsi="宋体" w:eastAsia="仿宋_GB2312" w:cs="宋体"/>
          <w:color w:val="000000"/>
          <w:kern w:val="0"/>
          <w:sz w:val="32"/>
          <w:szCs w:val="32"/>
          <w:lang w:val="en-US" w:eastAsia="zh-CN"/>
        </w:rPr>
        <w:t xml:space="preserve"> 中心在2023年未使用结转结余资金。</w:t>
      </w:r>
    </w:p>
    <w:p w14:paraId="04407280">
      <w:pPr>
        <w:numPr>
          <w:ilvl w:val="0"/>
          <w:numId w:val="1"/>
        </w:numPr>
        <w:spacing w:line="600" w:lineRule="exact"/>
        <w:ind w:left="0" w:leftChars="0" w:firstLine="640" w:firstLineChars="200"/>
        <w:rPr>
          <w:rFonts w:ascii="楷体_GB2312" w:eastAsia="楷体_GB2312"/>
          <w:sz w:val="32"/>
          <w:szCs w:val="32"/>
        </w:rPr>
      </w:pPr>
      <w:r>
        <w:rPr>
          <w:rFonts w:hint="eastAsia" w:ascii="楷体_GB2312" w:eastAsia="楷体_GB2312"/>
          <w:sz w:val="32"/>
          <w:szCs w:val="32"/>
          <w:lang w:eastAsia="zh-CN"/>
        </w:rPr>
        <w:t>单位</w:t>
      </w:r>
      <w:r>
        <w:rPr>
          <w:rFonts w:ascii="楷体_GB2312" w:eastAsia="楷体_GB2312"/>
          <w:sz w:val="32"/>
          <w:szCs w:val="32"/>
        </w:rPr>
        <w:t>预决算差异率</w:t>
      </w:r>
    </w:p>
    <w:p w14:paraId="54DB0655">
      <w:pPr>
        <w:numPr>
          <w:ilvl w:val="0"/>
          <w:numId w:val="0"/>
        </w:numPr>
        <w:spacing w:line="600" w:lineRule="exact"/>
        <w:ind w:leftChars="200"/>
        <w:rPr>
          <w:rFonts w:hint="default" w:ascii="仿宋_GB2312" w:hAnsi="宋体" w:eastAsia="仿宋_GB2312" w:cs="宋体"/>
          <w:color w:val="000000"/>
          <w:kern w:val="0"/>
          <w:sz w:val="32"/>
          <w:szCs w:val="32"/>
          <w:lang w:val="en-US" w:eastAsia="zh-CN"/>
        </w:rPr>
      </w:pPr>
      <w:r>
        <w:rPr>
          <w:rFonts w:hint="eastAsia" w:ascii="楷体_GB2312" w:eastAsia="楷体_GB2312"/>
          <w:sz w:val="32"/>
          <w:szCs w:val="32"/>
          <w:lang w:val="en-US" w:eastAsia="zh-CN"/>
        </w:rPr>
        <w:t xml:space="preserve">  </w:t>
      </w:r>
      <w:r>
        <w:rPr>
          <w:rFonts w:hint="eastAsia" w:ascii="仿宋_GB2312" w:hAnsi="宋体" w:eastAsia="仿宋_GB2312" w:cs="宋体"/>
          <w:color w:val="000000"/>
          <w:kern w:val="0"/>
          <w:sz w:val="32"/>
          <w:szCs w:val="32"/>
          <w:lang w:val="en-US" w:eastAsia="zh-CN"/>
        </w:rPr>
        <w:t>中心的2023年预决算差异率为7%。</w:t>
      </w:r>
    </w:p>
    <w:p w14:paraId="65563AE0">
      <w:pPr>
        <w:spacing w:line="600" w:lineRule="exact"/>
        <w:ind w:firstLine="640" w:firstLineChars="20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14:paraId="4B73DAC5">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14:paraId="6D02674E">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 xml:space="preserve">中心对2023年度部门项目支出实施了绩效评价，评价项目3个，占部门项目总数的 100 %，涉及金额254.98万元。其中，部门评价项目3个，涉及金额254.98万元，评价得分在90（含）-100分的3个。单位自评项目3个，涉及金额254.98万元，评价得分在90（含）-100分的3个。 </w:t>
      </w:r>
    </w:p>
    <w:p w14:paraId="1494B358">
      <w:pPr>
        <w:numPr>
          <w:ilvl w:val="0"/>
          <w:numId w:val="1"/>
        </w:numPr>
        <w:spacing w:line="600" w:lineRule="exact"/>
        <w:ind w:left="0" w:leftChars="0" w:firstLine="640" w:firstLineChars="200"/>
        <w:rPr>
          <w:rFonts w:hint="eastAsia" w:ascii="楷体_GB2312" w:eastAsia="楷体_GB2312"/>
          <w:sz w:val="32"/>
          <w:szCs w:val="32"/>
        </w:rPr>
      </w:pPr>
      <w:r>
        <w:rPr>
          <w:rFonts w:hint="eastAsia" w:ascii="楷体_GB2312" w:eastAsia="楷体_GB2312"/>
          <w:sz w:val="32"/>
          <w:szCs w:val="32"/>
        </w:rPr>
        <w:t>存在的问题及原因分析</w:t>
      </w:r>
    </w:p>
    <w:p w14:paraId="7FF15657">
      <w:pPr>
        <w:spacing w:line="600" w:lineRule="exact"/>
        <w:ind w:firstLine="640" w:firstLineChars="200"/>
        <w:outlineLvl w:val="0"/>
        <w:rPr>
          <w:rFonts w:hint="eastAsia" w:ascii="楷体_GB2312" w:eastAsia="仿宋_GB2312"/>
          <w:sz w:val="32"/>
          <w:szCs w:val="32"/>
          <w:lang w:val="en-US" w:eastAsia="zh-CN"/>
        </w:rPr>
      </w:pPr>
      <w:r>
        <w:rPr>
          <w:rFonts w:hint="eastAsia" w:ascii="仿宋_GB2312" w:eastAsia="仿宋_GB2312"/>
          <w:sz w:val="32"/>
          <w:szCs w:val="32"/>
          <w:lang w:eastAsia="zh-CN"/>
        </w:rPr>
        <w:t>中心立项的</w:t>
      </w:r>
      <w:r>
        <w:rPr>
          <w:rFonts w:hint="eastAsia" w:ascii="仿宋_GB2312" w:eastAsia="仿宋_GB2312"/>
          <w:sz w:val="32"/>
          <w:szCs w:val="32"/>
        </w:rPr>
        <w:t>项目实施方案单一，</w:t>
      </w:r>
      <w:r>
        <w:rPr>
          <w:rFonts w:hint="eastAsia" w:ascii="仿宋_GB2312" w:eastAsia="仿宋_GB2312"/>
          <w:sz w:val="32"/>
          <w:szCs w:val="32"/>
          <w:lang w:eastAsia="zh-CN"/>
        </w:rPr>
        <w:t>项目的</w:t>
      </w:r>
      <w:r>
        <w:rPr>
          <w:rFonts w:hint="eastAsia" w:ascii="仿宋_GB2312" w:eastAsia="仿宋_GB2312"/>
          <w:sz w:val="32"/>
          <w:szCs w:val="32"/>
        </w:rPr>
        <w:t>目标内容制定范围较小，</w:t>
      </w:r>
      <w:r>
        <w:rPr>
          <w:rFonts w:hint="eastAsia" w:ascii="仿宋_GB2312" w:eastAsia="仿宋_GB2312"/>
          <w:sz w:val="32"/>
          <w:szCs w:val="32"/>
          <w:lang w:eastAsia="zh-CN"/>
        </w:rPr>
        <w:t>管理理念较为狭隘</w:t>
      </w:r>
      <w:r>
        <w:rPr>
          <w:rFonts w:hint="eastAsia" w:ascii="仿宋_GB2312" w:eastAsia="仿宋_GB2312"/>
          <w:sz w:val="32"/>
          <w:szCs w:val="32"/>
        </w:rPr>
        <w:t>。</w:t>
      </w:r>
      <w:r>
        <w:rPr>
          <w:rFonts w:hint="eastAsia" w:ascii="仿宋_GB2312" w:eastAsia="仿宋_GB2312"/>
          <w:sz w:val="32"/>
          <w:szCs w:val="32"/>
          <w:lang w:eastAsia="zh-CN"/>
        </w:rPr>
        <w:t>原因是中心的规模较小，属于企业化管理的事业单位，业务较单一。</w:t>
      </w:r>
    </w:p>
    <w:p w14:paraId="6F4D35CB">
      <w:pPr>
        <w:spacing w:line="600" w:lineRule="exact"/>
        <w:ind w:firstLine="640" w:firstLineChars="200"/>
        <w:rPr>
          <w:rFonts w:hint="eastAsia"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w:t>
      </w:r>
      <w:bookmarkStart w:id="0" w:name="_GoBack"/>
      <w:bookmarkEnd w:id="0"/>
      <w:r>
        <w:rPr>
          <w:rFonts w:hint="eastAsia" w:ascii="黑体" w:hAnsi="黑体" w:eastAsia="黑体" w:cs="宋体"/>
          <w:color w:val="000000"/>
          <w:kern w:val="0"/>
          <w:sz w:val="32"/>
          <w:szCs w:val="32"/>
        </w:rPr>
        <w:t>施建议</w:t>
      </w:r>
    </w:p>
    <w:p w14:paraId="111AA2E8">
      <w:pPr>
        <w:spacing w:line="600" w:lineRule="exact"/>
        <w:ind w:firstLine="640" w:firstLineChars="200"/>
        <w:outlineLvl w:val="0"/>
      </w:pPr>
      <w:r>
        <w:rPr>
          <w:rFonts w:hint="eastAsia" w:ascii="仿宋_GB2312" w:eastAsia="仿宋_GB2312"/>
          <w:sz w:val="32"/>
          <w:szCs w:val="32"/>
        </w:rPr>
        <w:t>希望</w:t>
      </w:r>
      <w:r>
        <w:rPr>
          <w:rFonts w:hint="eastAsia" w:ascii="仿宋_GB2312" w:eastAsia="仿宋_GB2312"/>
          <w:sz w:val="32"/>
          <w:szCs w:val="32"/>
          <w:lang w:eastAsia="zh-CN"/>
        </w:rPr>
        <w:t>继续多</w:t>
      </w:r>
      <w:r>
        <w:rPr>
          <w:rFonts w:ascii="仿宋_GB2312" w:eastAsia="仿宋_GB2312"/>
          <w:sz w:val="32"/>
          <w:szCs w:val="32"/>
        </w:rPr>
        <w:t>参加</w:t>
      </w:r>
      <w:r>
        <w:rPr>
          <w:rFonts w:hint="eastAsia" w:ascii="仿宋_GB2312" w:eastAsia="仿宋_GB2312"/>
          <w:sz w:val="32"/>
          <w:szCs w:val="32"/>
        </w:rPr>
        <w:t>针对性</w:t>
      </w:r>
      <w:r>
        <w:rPr>
          <w:rFonts w:ascii="仿宋_GB2312" w:eastAsia="仿宋_GB2312"/>
          <w:sz w:val="32"/>
          <w:szCs w:val="32"/>
        </w:rPr>
        <w:t>的培训，</w:t>
      </w:r>
      <w:r>
        <w:rPr>
          <w:rFonts w:hint="eastAsia" w:ascii="仿宋_GB2312" w:eastAsia="仿宋_GB2312"/>
          <w:sz w:val="32"/>
          <w:szCs w:val="32"/>
          <w:lang w:eastAsia="zh-CN"/>
        </w:rPr>
        <w:t>多向先进单位学习，与相关单位交流，</w:t>
      </w:r>
      <w:r>
        <w:rPr>
          <w:rFonts w:ascii="仿宋_GB2312" w:eastAsia="仿宋_GB2312"/>
          <w:sz w:val="32"/>
          <w:szCs w:val="32"/>
        </w:rPr>
        <w:t>提升</w:t>
      </w:r>
      <w:r>
        <w:rPr>
          <w:rFonts w:hint="eastAsia" w:ascii="仿宋_GB2312" w:eastAsia="仿宋_GB2312"/>
          <w:sz w:val="32"/>
          <w:szCs w:val="32"/>
        </w:rPr>
        <w:t>项目</w:t>
      </w:r>
      <w:r>
        <w:rPr>
          <w:rFonts w:ascii="仿宋_GB2312" w:eastAsia="仿宋_GB2312"/>
          <w:sz w:val="32"/>
          <w:szCs w:val="32"/>
        </w:rPr>
        <w:t>绩效</w:t>
      </w:r>
      <w:r>
        <w:rPr>
          <w:rFonts w:hint="eastAsia" w:ascii="仿宋_GB2312" w:eastAsia="仿宋_GB2312"/>
          <w:sz w:val="32"/>
          <w:szCs w:val="32"/>
        </w:rPr>
        <w:t>管理</w:t>
      </w:r>
      <w:r>
        <w:rPr>
          <w:rFonts w:ascii="仿宋_GB2312" w:eastAsia="仿宋_GB2312"/>
          <w:sz w:val="32"/>
          <w:szCs w:val="32"/>
        </w:rPr>
        <w:t>水平。</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B888E">
    <w:pPr>
      <w:pStyle w:val="2"/>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34999B">
                          <w:pPr>
                            <w:pStyle w:val="2"/>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5834999B">
                    <w:pPr>
                      <w:pStyle w:val="2"/>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14:paraId="05B55028">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7A98D1"/>
    <w:multiLevelType w:val="singleLevel"/>
    <w:tmpl w:val="3C7A98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s>
  <w:rsids>
    <w:rsidRoot w:val="5404025B"/>
    <w:rsid w:val="036C7CFD"/>
    <w:rsid w:val="043E75DC"/>
    <w:rsid w:val="055B7202"/>
    <w:rsid w:val="058E2A81"/>
    <w:rsid w:val="059777C9"/>
    <w:rsid w:val="074833A0"/>
    <w:rsid w:val="084E0240"/>
    <w:rsid w:val="0854164E"/>
    <w:rsid w:val="112B2C12"/>
    <w:rsid w:val="13E37697"/>
    <w:rsid w:val="171F753A"/>
    <w:rsid w:val="1A4E703E"/>
    <w:rsid w:val="1EC647FF"/>
    <w:rsid w:val="210B4253"/>
    <w:rsid w:val="21E97AC5"/>
    <w:rsid w:val="25CE3729"/>
    <w:rsid w:val="26465814"/>
    <w:rsid w:val="2666570F"/>
    <w:rsid w:val="2A7D37AE"/>
    <w:rsid w:val="2AA1140E"/>
    <w:rsid w:val="2B0D6070"/>
    <w:rsid w:val="2B326E78"/>
    <w:rsid w:val="2ED71AC0"/>
    <w:rsid w:val="2F0C38B3"/>
    <w:rsid w:val="305C7B56"/>
    <w:rsid w:val="32055E6E"/>
    <w:rsid w:val="366520EB"/>
    <w:rsid w:val="3A8F74D3"/>
    <w:rsid w:val="3C1A1262"/>
    <w:rsid w:val="3D454D0D"/>
    <w:rsid w:val="3F6D4DEF"/>
    <w:rsid w:val="3FDC735F"/>
    <w:rsid w:val="42C410BB"/>
    <w:rsid w:val="43495030"/>
    <w:rsid w:val="43F961B9"/>
    <w:rsid w:val="47A815EF"/>
    <w:rsid w:val="4883407F"/>
    <w:rsid w:val="4B3A2B43"/>
    <w:rsid w:val="4C1C64D2"/>
    <w:rsid w:val="4DE0665B"/>
    <w:rsid w:val="4E4B13F1"/>
    <w:rsid w:val="540316AB"/>
    <w:rsid w:val="5404025B"/>
    <w:rsid w:val="56E337BA"/>
    <w:rsid w:val="5D9C144E"/>
    <w:rsid w:val="5DC75DA3"/>
    <w:rsid w:val="5E7F3237"/>
    <w:rsid w:val="5F321771"/>
    <w:rsid w:val="5F402847"/>
    <w:rsid w:val="62312A9A"/>
    <w:rsid w:val="65271F32"/>
    <w:rsid w:val="65696179"/>
    <w:rsid w:val="65907AD8"/>
    <w:rsid w:val="68484F6A"/>
    <w:rsid w:val="69B013F1"/>
    <w:rsid w:val="6A95793E"/>
    <w:rsid w:val="6AC94746"/>
    <w:rsid w:val="6AF6216F"/>
    <w:rsid w:val="724131FA"/>
    <w:rsid w:val="730C013C"/>
    <w:rsid w:val="767A2D9C"/>
    <w:rsid w:val="7D056BA5"/>
    <w:rsid w:val="7D8A3B86"/>
    <w:rsid w:val="7E3A287F"/>
    <w:rsid w:val="7E5622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1512</Words>
  <Characters>1653</Characters>
  <Lines>0</Lines>
  <Paragraphs>0</Paragraphs>
  <TotalTime>3</TotalTime>
  <ScaleCrop>false</ScaleCrop>
  <LinksUpToDate>false</LinksUpToDate>
  <CharactersWithSpaces>1671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2022-05-26T08:13:00Z</dcterms:created>
  <dc:creator>yp</dc:creator>
  <cp:lastModifiedBy>yp</cp:lastModifiedBy>
  <cp:lastPrinted>2023-05-19T03:41:00Z</cp:lastPrinted>
  <dcterms:modified xsi:type="dcterms:W3CDTF">2024-09-11T02:42:44Z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AC8D4982BFE64F9E91712611610B4C7A_13</vt:lpwstr>
  </property>
</Properties>
</file>